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E19C5" w14:textId="77777777" w:rsidR="00CB039E" w:rsidRPr="0087189D" w:rsidRDefault="0087189D" w:rsidP="008A2836">
      <w:pPr>
        <w:pStyle w:val="AsuntoAPV"/>
        <w:ind w:left="0"/>
        <w:rPr>
          <w:b w:val="0"/>
          <w:i/>
          <w:sz w:val="20"/>
          <w:szCs w:val="20"/>
        </w:rPr>
      </w:pPr>
      <w:r>
        <w:rPr>
          <w:b w:val="0"/>
          <w:i/>
          <w:sz w:val="20"/>
        </w:rPr>
        <w:t xml:space="preserve">Òrgan administratiu:</w:t>
      </w:r>
      <w:r>
        <w:rPr>
          <w:b w:val="0"/>
          <w:i/>
          <w:sz w:val="20"/>
        </w:rPr>
        <w:t xml:space="preserve"> </w:t>
      </w:r>
      <w:r>
        <w:rPr>
          <w:b w:val="0"/>
          <w:i/>
          <w:sz w:val="20"/>
        </w:rPr>
        <w:t xml:space="preserve">L'AUTORITAT PORTUÀRIA DE VALÈNCIA</w:t>
      </w:r>
    </w:p>
    <w:p w14:paraId="490F71EF" w14:textId="1F8449BC" w:rsidR="0087189D" w:rsidRPr="0087189D" w:rsidRDefault="00A71F34" w:rsidP="008A2836">
      <w:pPr>
        <w:pStyle w:val="AsuntoAPV"/>
        <w:ind w:left="0"/>
        <w:rPr>
          <w:b w:val="0"/>
          <w:i/>
          <w:sz w:val="20"/>
          <w:szCs w:val="20"/>
        </w:rPr>
      </w:pPr>
      <w:r>
        <w:rPr>
          <w:b w:val="0"/>
          <w:i/>
          <w:sz w:val="20"/>
        </w:rPr>
        <w:t xml:space="preserve">Número de referència:</w:t>
      </w:r>
      <w:r>
        <w:rPr>
          <w:b w:val="0"/>
          <w:i/>
          <w:sz w:val="20"/>
        </w:rPr>
        <w:t xml:space="preserve"> </w:t>
      </w:r>
      <w:r>
        <w:rPr>
          <w:b w:val="0"/>
          <w:i/>
          <w:sz w:val="20"/>
        </w:rPr>
        <w:t xml:space="preserve">FG001/2024-02-TF</w:t>
      </w:r>
    </w:p>
    <w:p w14:paraId="7092AFB8" w14:textId="77777777" w:rsidR="0087189D" w:rsidRDefault="0087189D" w:rsidP="008A2836">
      <w:pPr>
        <w:pStyle w:val="AsuntoAPV"/>
        <w:ind w:left="0"/>
      </w:pPr>
    </w:p>
    <w:p w14:paraId="03AE34A9" w14:textId="5E420B7E" w:rsidR="00360C83" w:rsidRDefault="00360C83" w:rsidP="00360C83">
      <w:pPr>
        <w:pStyle w:val="AsuntoAPV"/>
        <w:ind w:left="0"/>
      </w:pPr>
      <w:r>
        <w:t xml:space="preserve">Quadre tarifari d'aplicació a partir del 09/02/2024 a les tarifes màximes del servici portuari d'amarrament i desamarrament de Practicatge en el Port de Gandia, en fer-se efectiva la segona pujada de retribució del personal al servici del sector públic, prevista en la Llei de Pressupostos Generals de l'Estat per a l'any 2023, vinculada al Producte Interior Brut (PIB) nominal i publicada en el Butlletí Oficial de l'Estat núm. 34 de data 08/02/2024.</w:t>
      </w:r>
    </w:p>
    <w:p w14:paraId="4D26E912" w14:textId="77777777" w:rsidR="00360C83" w:rsidRDefault="00360C83" w:rsidP="00360C83">
      <w:pPr>
        <w:pStyle w:val="AsuntoAPV"/>
        <w:ind w:left="0"/>
        <w:rPr>
          <w:b w:val="0"/>
          <w:sz w:val="20"/>
          <w:szCs w:val="20"/>
        </w:rPr>
      </w:pPr>
    </w:p>
    <w:p w14:paraId="68C841C9" w14:textId="14A252DE" w:rsidR="00360C83" w:rsidRDefault="00360C83" w:rsidP="00360C83">
      <w:pPr>
        <w:pStyle w:val="AsuntoAPV"/>
        <w:ind w:left="0"/>
        <w:rPr>
          <w:b w:val="0"/>
          <w:sz w:val="20"/>
          <w:szCs w:val="20"/>
        </w:rPr>
      </w:pPr>
      <w:r>
        <w:rPr>
          <w:b w:val="0"/>
          <w:sz w:val="20"/>
        </w:rPr>
        <w:t xml:space="preserve">El dia 12 de gener de 2024, i mitjançant resolució del Director General de l'Autoritat Portuària CCSV </w:t>
      </w:r>
      <w:r>
        <w:rPr>
          <w:b w:val="0"/>
          <w:sz w:val="20"/>
          <w:color w:val="auto"/>
        </w:rPr>
        <w:t xml:space="preserve">ggso KaeF h1xu nY+K UsjA YEeK Fu0=</w:t>
      </w:r>
      <w:r>
        <w:rPr>
          <w:b w:val="0"/>
          <w:sz w:val="20"/>
        </w:rPr>
        <w:t xml:space="preserve">, es van aprovar les tarifes màximes d'aplicació per al servici portuari d'amarrament i desamarrament de practicatge en el Port de Gandia.</w:t>
      </w:r>
    </w:p>
    <w:p w14:paraId="6590AB96" w14:textId="77777777" w:rsidR="00360C83" w:rsidRDefault="00360C83" w:rsidP="00360C83">
      <w:pPr>
        <w:pStyle w:val="AsuntoAPV"/>
        <w:ind w:left="0"/>
        <w:rPr>
          <w:b w:val="0"/>
          <w:sz w:val="20"/>
          <w:szCs w:val="20"/>
        </w:rPr>
      </w:pPr>
      <w:r>
        <w:rPr>
          <w:b w:val="0"/>
          <w:sz w:val="20"/>
        </w:rPr>
        <w:t xml:space="preserve">En l'esmentada resolució, es determina que:</w:t>
      </w:r>
    </w:p>
    <w:p w14:paraId="7A138516" w14:textId="2DCBE7DB" w:rsidR="00360C83" w:rsidRPr="00B83C8F" w:rsidRDefault="00360C83" w:rsidP="00360C83">
      <w:pPr>
        <w:pStyle w:val="AsuntoAPV"/>
        <w:ind w:left="720"/>
        <w:rPr>
          <w:b w:val="0"/>
          <w:i/>
          <w:iCs/>
          <w:sz w:val="20"/>
          <w:szCs w:val="20"/>
        </w:rPr>
      </w:pPr>
      <w:r>
        <w:rPr>
          <w:b w:val="0"/>
          <w:i/>
          <w:sz w:val="20"/>
        </w:rPr>
        <w:t xml:space="preserve">“Segons s'indica en la Memòria Econòmica si es fera efectiva la segona pujada de retribució del personal al servici del sector públic, prevista en la Llei de Pressupostos Generals de l'Estat per a l'any 2023, vinculada al Producte Interior Brut (PIB) nominal, i estant pendent de valoració i aprovació, si escau, l'actualització de les tarifes resultaria en un 3,118%.</w:t>
      </w:r>
      <w:r>
        <w:rPr>
          <w:b w:val="0"/>
          <w:i/>
          <w:sz w:val="20"/>
        </w:rPr>
        <w:t xml:space="preserve"> </w:t>
      </w:r>
      <w:r>
        <w:rPr>
          <w:b w:val="0"/>
          <w:i/>
          <w:sz w:val="20"/>
        </w:rPr>
        <w:t xml:space="preserve">En cas que esta pujada es fera efectiva, seria aplicable a les tarifes del servici l'endemà de la publicació de la resolució aprovant esta pujada en el Butlletí Oficial de l'Estat, de manera automàtica i sense caràcter retroactiu, publicant-se un nou quadre tarifari”</w:t>
      </w:r>
    </w:p>
    <w:p w14:paraId="59E596E6" w14:textId="77777777" w:rsidR="00360C83" w:rsidRDefault="00360C83" w:rsidP="00360C83">
      <w:pPr>
        <w:pStyle w:val="AsuntoAPV"/>
        <w:ind w:left="0"/>
        <w:rPr>
          <w:b w:val="0"/>
          <w:sz w:val="20"/>
          <w:szCs w:val="20"/>
        </w:rPr>
      </w:pPr>
    </w:p>
    <w:p w14:paraId="57DAE3C6" w14:textId="77777777" w:rsidR="00360C83" w:rsidRDefault="00360C83" w:rsidP="00360C83">
      <w:pPr>
        <w:pStyle w:val="AsuntoAPV"/>
        <w:ind w:left="0"/>
        <w:rPr>
          <w:b w:val="0"/>
          <w:sz w:val="20"/>
          <w:szCs w:val="20"/>
        </w:rPr>
      </w:pPr>
      <w:r>
        <w:rPr>
          <w:b w:val="0"/>
          <w:sz w:val="20"/>
        </w:rPr>
        <w:t xml:space="preserve">El 08/02/2024, s'ha publicat en el Butlletí Oficial de l'Estat número 34 la segona pujada de retribució del personal al servici del sector públic referida en la resolució, per la qual cosa procedix la seua aplicació automàtica i la publicació del nou quadre tarifari, que s'inclou com a Annex I, i actualitzar les tarifes per intervenció en situacions d'emergències, operacions de salvament, extinció d'incendis o lluita contra la contaminació que s'inclou com a Annex II.</w:t>
      </w:r>
    </w:p>
    <w:p w14:paraId="03610431" w14:textId="77777777" w:rsidR="00360C83" w:rsidRPr="00663129" w:rsidRDefault="00360C83" w:rsidP="00360C83">
      <w:pPr>
        <w:pStyle w:val="AsuntoAPV"/>
        <w:ind w:left="0"/>
        <w:rPr>
          <w:b w:val="0"/>
          <w:sz w:val="20"/>
          <w:szCs w:val="20"/>
        </w:rPr>
      </w:pPr>
    </w:p>
    <w:p w14:paraId="3BEA7670" w14:textId="77777777" w:rsidR="00360C83" w:rsidRDefault="00360C83" w:rsidP="00360C83">
      <w:pPr>
        <w:pStyle w:val="AsuntoAPV"/>
        <w:ind w:left="0"/>
        <w:jc w:val="center"/>
        <w:rPr>
          <w:b w:val="0"/>
          <w:sz w:val="28"/>
          <w:szCs w:val="28"/>
        </w:rPr>
      </w:pPr>
    </w:p>
    <w:p w14:paraId="588436DC" w14:textId="3E822925" w:rsidR="0094058D" w:rsidRDefault="00360C83" w:rsidP="00360C83">
      <w:pPr>
        <w:pStyle w:val="OficioAPV"/>
        <w:spacing w:before="0" w:after="0" w:line="276" w:lineRule="auto"/>
        <w:ind w:left="0"/>
        <w:jc w:val="center"/>
        <w:rPr>
          <w:sz w:val="28"/>
          <w:szCs w:val="28"/>
        </w:rPr>
      </w:pPr>
      <w:r>
        <w:rPr>
          <w:sz w:val="28"/>
        </w:rPr>
        <w:t xml:space="preserve">Tarifa a aplicar </w:t>
      </w:r>
      <w:r>
        <w:rPr>
          <w:sz w:val="28"/>
          <w:b/>
        </w:rPr>
        <w:t xml:space="preserve">T-2</w:t>
      </w:r>
    </w:p>
    <w:p w14:paraId="024A5E70" w14:textId="77777777" w:rsidR="00861511" w:rsidRDefault="00861511" w:rsidP="00360C83">
      <w:pPr>
        <w:pStyle w:val="OficioAPV"/>
        <w:spacing w:before="0" w:after="0" w:line="276" w:lineRule="auto"/>
        <w:ind w:left="0"/>
        <w:jc w:val="center"/>
        <w:rPr>
          <w:sz w:val="28"/>
          <w:szCs w:val="28"/>
        </w:rPr>
      </w:pPr>
    </w:p>
    <w:p w14:paraId="293D6AFB" w14:textId="77777777" w:rsidR="00861511" w:rsidRDefault="00861511" w:rsidP="00360C83">
      <w:pPr>
        <w:pStyle w:val="OficioAPV"/>
        <w:spacing w:before="0" w:after="0" w:line="276" w:lineRule="auto"/>
        <w:ind w:left="0"/>
        <w:jc w:val="center"/>
        <w:rPr>
          <w:sz w:val="28"/>
          <w:szCs w:val="28"/>
        </w:rPr>
      </w:pPr>
    </w:p>
    <w:p w14:paraId="67A7FE58" w14:textId="77777777" w:rsidR="00360C83" w:rsidRDefault="00360C83" w:rsidP="00360C83">
      <w:pPr>
        <w:pStyle w:val="OficioAPV"/>
        <w:spacing w:before="0" w:after="0" w:line="276" w:lineRule="auto"/>
        <w:ind w:left="0"/>
      </w:pPr>
    </w:p>
    <w:p w14:paraId="6339894F" w14:textId="77777777" w:rsidR="0094058D" w:rsidRDefault="0094058D" w:rsidP="0094058D">
      <w:pPr>
        <w:spacing w:after="0"/>
        <w:jc w:val="both"/>
        <w:rPr>
          <w:i/>
          <w:color w:val="231F20"/>
          <w:sz w:val="20"/>
          <w:szCs w:val="20"/>
          <w:rFonts w:ascii="Arial" w:eastAsia="Arial" w:hAnsi="Arial" w:cs="Arial"/>
        </w:rPr>
      </w:pPr>
      <w:r>
        <w:rPr>
          <w:i/>
          <w:color w:val="231F20"/>
          <w:sz w:val="20"/>
          <w:rFonts w:ascii="Arial" w:hAnsi="Arial"/>
        </w:rPr>
        <w:t xml:space="preserve">El present document ha sigut firmat electrònicament pel </w:t>
      </w:r>
      <w:r>
        <w:rPr>
          <w:i/>
          <w:color w:val="231F20"/>
          <w:sz w:val="20"/>
          <w:b/>
          <w:rFonts w:ascii="Arial" w:hAnsi="Arial"/>
        </w:rPr>
        <w:t xml:space="preserve">Director General</w:t>
      </w:r>
      <w:r>
        <w:rPr>
          <w:i/>
          <w:color w:val="231F20"/>
          <w:sz w:val="20"/>
          <w:rFonts w:ascii="Arial" w:hAnsi="Arial"/>
        </w:rPr>
        <w:t xml:space="preserve"> de l'</w:t>
      </w:r>
      <w:r>
        <w:rPr>
          <w:i/>
          <w:color w:val="231F20"/>
          <w:sz w:val="20"/>
          <w:b/>
          <w:rFonts w:ascii="Arial" w:hAnsi="Arial"/>
        </w:rPr>
        <w:t xml:space="preserve">Autoritat Portuària de València</w:t>
      </w:r>
      <w:r>
        <w:rPr>
          <w:i/>
          <w:color w:val="231F20"/>
          <w:sz w:val="20"/>
          <w:rFonts w:ascii="Arial" w:hAnsi="Arial"/>
        </w:rPr>
        <w:t xml:space="preserve">, </w:t>
      </w:r>
      <w:r>
        <w:rPr>
          <w:i/>
          <w:color w:val="231F20"/>
          <w:sz w:val="20"/>
          <w:b/>
          <w:rFonts w:ascii="Arial" w:hAnsi="Arial"/>
        </w:rPr>
        <w:t xml:space="preserve">Enrique Belda Esplugues</w:t>
      </w:r>
      <w:r>
        <w:rPr>
          <w:i/>
          <w:color w:val="231F20"/>
          <w:sz w:val="20"/>
          <w:rFonts w:ascii="Arial" w:hAnsi="Arial"/>
        </w:rPr>
        <w:t xml:space="preserve">, en la data que es reflectix en la validació que hi consta i que pot ser verificada mitjançant el Codi Segur de Verificació (CSV) que inclou la seua còpia verificable.</w:t>
      </w:r>
    </w:p>
    <w:p w14:paraId="3155916A" w14:textId="77777777" w:rsidR="00EE4FB9" w:rsidRDefault="00EE4FB9">
      <w:r>
        <w:br w:type="page"/>
      </w:r>
    </w:p>
    <w:p w14:paraId="3AB850B2" w14:textId="77777777" w:rsidR="0097077E" w:rsidRDefault="00961D9E" w:rsidP="00961D9E">
      <w:pPr>
        <w:pStyle w:val="AsuntoAPV"/>
        <w:ind w:left="0"/>
        <w:jc w:val="center"/>
      </w:pPr>
      <w:r>
        <w:t xml:space="preserve">ANNEX I</w:t>
      </w:r>
    </w:p>
    <w:p w14:paraId="4BFC978D" w14:textId="77777777" w:rsidR="00DF57D5" w:rsidRPr="007D2D27" w:rsidRDefault="00DF57D5" w:rsidP="00DF57D5">
      <w:pPr>
        <w:pStyle w:val="OficioAPV"/>
        <w:spacing w:before="0" w:after="0" w:line="276" w:lineRule="auto"/>
        <w:ind w:left="0"/>
        <w:rPr>
          <w:i/>
          <w:iCs/>
        </w:rPr>
      </w:pPr>
      <w:r>
        <w:rPr>
          <w:i/>
        </w:rPr>
        <w:t xml:space="preserve">Tarifes màximes:</w:t>
      </w:r>
    </w:p>
    <w:p w14:paraId="344EE2BA" w14:textId="77777777" w:rsidR="00DF57D5" w:rsidRDefault="00DF57D5" w:rsidP="00DF57D5">
      <w:pPr>
        <w:pStyle w:val="Prrafodelista"/>
        <w:widowControl/>
        <w:numPr>
          <w:ilvl w:val="0"/>
          <w:numId w:val="2"/>
        </w:numPr>
        <w:spacing w:before="120" w:after="160" w:line="259" w:lineRule="auto"/>
        <w:jc w:val="both"/>
        <w:rPr>
          <w:i/>
          <w:iCs/>
          <w:sz w:val="18"/>
          <w:szCs w:val="18"/>
          <w:rFonts w:ascii="Arial" w:eastAsia="Calibri" w:hAnsi="Arial" w:cs="Arial"/>
        </w:rPr>
      </w:pPr>
      <w:r>
        <w:rPr>
          <w:i/>
          <w:sz w:val="20"/>
          <w:rFonts w:ascii="Arial" w:hAnsi="Arial"/>
        </w:rPr>
        <w:t xml:space="preserve">Tarifes màximes aplicables a les maniobres d'entrada i sortida són les següents, sent la «General» l'aplicable a tots els vaixells:</w:t>
      </w:r>
      <w:r>
        <w:rPr>
          <w:i/>
          <w:sz w:val="18"/>
          <w:rFonts w:ascii="Arial" w:hAnsi="Arial"/>
        </w:rPr>
        <w:t xml:space="preserve"> </w:t>
      </w:r>
    </w:p>
    <w:p w14:paraId="515CBFA1" w14:textId="77777777" w:rsidR="00DF57D5" w:rsidRPr="004C461E" w:rsidRDefault="00DF57D5" w:rsidP="00DF57D5">
      <w:pPr>
        <w:pStyle w:val="Prrafodelista"/>
        <w:widowControl/>
        <w:spacing w:before="120" w:after="160" w:line="259" w:lineRule="auto"/>
        <w:ind w:left="0"/>
        <w:jc w:val="both"/>
        <w:rPr>
          <w:rFonts w:ascii="Arial" w:eastAsia="Calibri" w:hAnsi="Arial" w:cs="Arial"/>
          <w:i/>
          <w:iCs/>
          <w:sz w:val="18"/>
          <w:szCs w:val="18"/>
          <w:lang w:val="es-ES"/>
        </w:rPr>
      </w:pPr>
    </w:p>
    <w:tbl>
      <w:tblPr>
        <w:tblW w:w="8300" w:type="dxa"/>
        <w:tblCellMar>
          <w:left w:w="70" w:type="dxa"/>
          <w:right w:w="70" w:type="dxa"/>
        </w:tblCellMar>
        <w:tblLook w:val="04A0" w:firstRow="1" w:lastRow="0" w:firstColumn="1" w:lastColumn="0" w:noHBand="0" w:noVBand="1"/>
      </w:tblPr>
      <w:tblGrid>
        <w:gridCol w:w="5625"/>
        <w:gridCol w:w="2675"/>
      </w:tblGrid>
      <w:tr w:rsidR="00DF57D5" w:rsidRPr="00061033" w14:paraId="4F84DC2E"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6E3056F5"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Tarifa T0</w:t>
            </w:r>
            <w:r>
              <w:rPr>
                <w:b/>
                <w:rFonts w:ascii="Calibri" w:hAnsi="Calibri"/>
              </w:rPr>
              <w:t xml:space="preserve"> </w:t>
            </w:r>
          </w:p>
        </w:tc>
      </w:tr>
      <w:tr w:rsidR="00DF57D5" w:rsidRPr="00C02E6A" w14:paraId="09F0ECE1"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36FFAF32"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1.000.000 i 5.000.000 Gt´s.</w:t>
            </w:r>
          </w:p>
        </w:tc>
      </w:tr>
      <w:tr w:rsidR="00DF57D5" w:rsidRPr="00061033" w14:paraId="4FC16FD7"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7ABC33CC"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675" w:type="dxa"/>
            <w:tcBorders>
              <w:top w:val="nil"/>
              <w:left w:val="nil"/>
              <w:bottom w:val="single" w:sz="8" w:space="0" w:color="auto"/>
              <w:right w:val="single" w:sz="8" w:space="0" w:color="auto"/>
            </w:tcBorders>
            <w:shd w:val="clear" w:color="000000" w:fill="BFBFBF"/>
            <w:noWrap/>
            <w:vAlign w:val="center"/>
            <w:hideMark/>
          </w:tcPr>
          <w:p w14:paraId="211C24EE"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Import</w:t>
            </w:r>
          </w:p>
        </w:tc>
      </w:tr>
      <w:tr w:rsidR="00DF57D5" w:rsidRPr="00061033" w14:paraId="526F2F9C"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4AEC597B"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Tots els vaixells</w:t>
            </w:r>
          </w:p>
        </w:tc>
        <w:tc>
          <w:tcPr>
            <w:tcW w:w="2675" w:type="dxa"/>
            <w:tcBorders>
              <w:top w:val="nil"/>
              <w:left w:val="nil"/>
              <w:bottom w:val="single" w:sz="8" w:space="0" w:color="auto"/>
              <w:right w:val="single" w:sz="8" w:space="0" w:color="auto"/>
            </w:tcBorders>
            <w:shd w:val="clear" w:color="auto" w:fill="auto"/>
            <w:noWrap/>
            <w:vAlign w:val="center"/>
            <w:hideMark/>
          </w:tcPr>
          <w:p w14:paraId="68319D5F" w14:textId="254FCA39"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178,77+ (0,033548*Gt´s) €</w:t>
            </w:r>
          </w:p>
        </w:tc>
      </w:tr>
      <w:tr w:rsidR="00DF57D5" w:rsidRPr="00061033" w14:paraId="1DB5245C" w14:textId="77777777" w:rsidTr="00537B23">
        <w:trPr>
          <w:trHeight w:val="315"/>
        </w:trPr>
        <w:tc>
          <w:tcPr>
            <w:tcW w:w="5625" w:type="dxa"/>
            <w:tcBorders>
              <w:top w:val="nil"/>
              <w:left w:val="nil"/>
              <w:bottom w:val="nil"/>
              <w:right w:val="nil"/>
            </w:tcBorders>
            <w:shd w:val="clear" w:color="auto" w:fill="auto"/>
            <w:noWrap/>
            <w:vAlign w:val="bottom"/>
            <w:hideMark/>
          </w:tcPr>
          <w:p w14:paraId="0E82554F"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390F5ED0"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511CCA06"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4940AC3F"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Tarifa T1</w:t>
            </w:r>
            <w:r>
              <w:rPr>
                <w:b/>
                <w:rFonts w:ascii="Calibri" w:hAnsi="Calibri"/>
              </w:rPr>
              <w:t xml:space="preserve"> </w:t>
            </w:r>
          </w:p>
        </w:tc>
      </w:tr>
      <w:tr w:rsidR="00DF57D5" w:rsidRPr="00C02E6A" w14:paraId="1F041A1B"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587F198D"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5.000.001 i 5.150.000 Gt´s.</w:t>
            </w:r>
          </w:p>
        </w:tc>
      </w:tr>
      <w:tr w:rsidR="00DF57D5" w:rsidRPr="00061033" w14:paraId="54F00728"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7B6A3627"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675" w:type="dxa"/>
            <w:tcBorders>
              <w:top w:val="nil"/>
              <w:left w:val="nil"/>
              <w:bottom w:val="single" w:sz="8" w:space="0" w:color="auto"/>
              <w:right w:val="single" w:sz="8" w:space="0" w:color="auto"/>
            </w:tcBorders>
            <w:shd w:val="clear" w:color="000000" w:fill="BFBFBF"/>
            <w:noWrap/>
            <w:vAlign w:val="center"/>
            <w:hideMark/>
          </w:tcPr>
          <w:p w14:paraId="34AC66C9"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Import</w:t>
            </w:r>
          </w:p>
        </w:tc>
      </w:tr>
      <w:tr w:rsidR="00DF57D5" w:rsidRPr="00061033" w14:paraId="08BE7EB6"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174F7714"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Tots els vaixells</w:t>
            </w:r>
          </w:p>
        </w:tc>
        <w:tc>
          <w:tcPr>
            <w:tcW w:w="2675" w:type="dxa"/>
            <w:tcBorders>
              <w:top w:val="nil"/>
              <w:left w:val="nil"/>
              <w:bottom w:val="single" w:sz="8" w:space="0" w:color="auto"/>
              <w:right w:val="single" w:sz="8" w:space="0" w:color="auto"/>
            </w:tcBorders>
            <w:shd w:val="clear" w:color="auto" w:fill="auto"/>
            <w:noWrap/>
            <w:vAlign w:val="center"/>
            <w:hideMark/>
          </w:tcPr>
          <w:p w14:paraId="5E98032B" w14:textId="1FE8949C"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155,48+ (0,029178*Gt´s) €</w:t>
            </w:r>
          </w:p>
        </w:tc>
      </w:tr>
      <w:tr w:rsidR="00DF57D5" w:rsidRPr="00061033" w14:paraId="49757459" w14:textId="77777777" w:rsidTr="00537B23">
        <w:trPr>
          <w:trHeight w:val="315"/>
        </w:trPr>
        <w:tc>
          <w:tcPr>
            <w:tcW w:w="5625" w:type="dxa"/>
            <w:tcBorders>
              <w:top w:val="nil"/>
              <w:left w:val="nil"/>
              <w:bottom w:val="nil"/>
              <w:right w:val="nil"/>
            </w:tcBorders>
            <w:shd w:val="clear" w:color="auto" w:fill="auto"/>
            <w:noWrap/>
            <w:vAlign w:val="bottom"/>
            <w:hideMark/>
          </w:tcPr>
          <w:p w14:paraId="0F0FC9C9"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6BBCEA4D"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46BB2BD8"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39FD5539"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Tarifa T2</w:t>
            </w:r>
          </w:p>
        </w:tc>
      </w:tr>
      <w:tr w:rsidR="00DF57D5" w:rsidRPr="00C02E6A" w14:paraId="0052A34D"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158DE9E5"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5.150.001 i 5.304.500 Gt´s.</w:t>
            </w:r>
          </w:p>
        </w:tc>
      </w:tr>
      <w:tr w:rsidR="00DF57D5" w:rsidRPr="00061033" w14:paraId="2FF29118"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7D4F81C8"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675" w:type="dxa"/>
            <w:tcBorders>
              <w:top w:val="nil"/>
              <w:left w:val="nil"/>
              <w:bottom w:val="single" w:sz="8" w:space="0" w:color="auto"/>
              <w:right w:val="single" w:sz="8" w:space="0" w:color="auto"/>
            </w:tcBorders>
            <w:shd w:val="clear" w:color="000000" w:fill="BFBFBF"/>
            <w:noWrap/>
            <w:vAlign w:val="center"/>
            <w:hideMark/>
          </w:tcPr>
          <w:p w14:paraId="6E32DA6E"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Import</w:t>
            </w:r>
          </w:p>
        </w:tc>
      </w:tr>
      <w:tr w:rsidR="00DF57D5" w:rsidRPr="00061033" w14:paraId="51364DA3"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07B50530"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Tots els vaixells</w:t>
            </w:r>
          </w:p>
        </w:tc>
        <w:tc>
          <w:tcPr>
            <w:tcW w:w="2675" w:type="dxa"/>
            <w:tcBorders>
              <w:top w:val="nil"/>
              <w:left w:val="nil"/>
              <w:bottom w:val="single" w:sz="8" w:space="0" w:color="auto"/>
              <w:right w:val="single" w:sz="8" w:space="0" w:color="auto"/>
            </w:tcBorders>
            <w:shd w:val="clear" w:color="auto" w:fill="auto"/>
            <w:noWrap/>
            <w:vAlign w:val="center"/>
            <w:hideMark/>
          </w:tcPr>
          <w:p w14:paraId="4694B025" w14:textId="7E05B6ED"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151,3+ (0,028392*Gt´s) €</w:t>
            </w:r>
          </w:p>
        </w:tc>
      </w:tr>
      <w:tr w:rsidR="00DF57D5" w:rsidRPr="00061033" w14:paraId="38CD3153" w14:textId="77777777" w:rsidTr="00537B23">
        <w:trPr>
          <w:trHeight w:val="315"/>
        </w:trPr>
        <w:tc>
          <w:tcPr>
            <w:tcW w:w="5625" w:type="dxa"/>
            <w:tcBorders>
              <w:top w:val="nil"/>
              <w:left w:val="nil"/>
              <w:bottom w:val="nil"/>
              <w:right w:val="nil"/>
            </w:tcBorders>
            <w:shd w:val="clear" w:color="auto" w:fill="auto"/>
            <w:noWrap/>
            <w:vAlign w:val="bottom"/>
            <w:hideMark/>
          </w:tcPr>
          <w:p w14:paraId="2B4D4A05"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4F1D798F"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597B2034"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32EA16D8"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Tarifa T3</w:t>
            </w:r>
          </w:p>
        </w:tc>
      </w:tr>
      <w:tr w:rsidR="00DF57D5" w:rsidRPr="00C02E6A" w14:paraId="0B777E29"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638F4C85"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5.304.501 i 5.463.635 Gt´s.</w:t>
            </w:r>
          </w:p>
        </w:tc>
      </w:tr>
      <w:tr w:rsidR="00DF57D5" w:rsidRPr="00061033" w14:paraId="3B2A26BF"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022F9755"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675" w:type="dxa"/>
            <w:tcBorders>
              <w:top w:val="nil"/>
              <w:left w:val="nil"/>
              <w:bottom w:val="single" w:sz="8" w:space="0" w:color="auto"/>
              <w:right w:val="single" w:sz="8" w:space="0" w:color="auto"/>
            </w:tcBorders>
            <w:shd w:val="clear" w:color="000000" w:fill="BFBFBF"/>
            <w:noWrap/>
            <w:vAlign w:val="center"/>
            <w:hideMark/>
          </w:tcPr>
          <w:p w14:paraId="76CD4056"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Import</w:t>
            </w:r>
          </w:p>
        </w:tc>
      </w:tr>
      <w:tr w:rsidR="00DF57D5" w:rsidRPr="00061033" w14:paraId="4835C22F"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5B1D2F66"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Tots els vaixells</w:t>
            </w:r>
          </w:p>
        </w:tc>
        <w:tc>
          <w:tcPr>
            <w:tcW w:w="2675" w:type="dxa"/>
            <w:tcBorders>
              <w:top w:val="nil"/>
              <w:left w:val="nil"/>
              <w:bottom w:val="single" w:sz="8" w:space="0" w:color="auto"/>
              <w:right w:val="single" w:sz="8" w:space="0" w:color="auto"/>
            </w:tcBorders>
            <w:shd w:val="clear" w:color="auto" w:fill="auto"/>
            <w:noWrap/>
            <w:vAlign w:val="center"/>
            <w:hideMark/>
          </w:tcPr>
          <w:p w14:paraId="09B036DF" w14:textId="569D2621"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146,59+ (0,027508*Gt´s) €</w:t>
            </w:r>
          </w:p>
        </w:tc>
      </w:tr>
      <w:tr w:rsidR="00DF57D5" w:rsidRPr="00061033" w14:paraId="6C2A6173" w14:textId="77777777" w:rsidTr="00537B23">
        <w:trPr>
          <w:trHeight w:val="315"/>
        </w:trPr>
        <w:tc>
          <w:tcPr>
            <w:tcW w:w="5625" w:type="dxa"/>
            <w:tcBorders>
              <w:top w:val="nil"/>
              <w:left w:val="nil"/>
              <w:bottom w:val="nil"/>
              <w:right w:val="nil"/>
            </w:tcBorders>
            <w:shd w:val="clear" w:color="auto" w:fill="auto"/>
            <w:noWrap/>
            <w:vAlign w:val="bottom"/>
            <w:hideMark/>
          </w:tcPr>
          <w:p w14:paraId="51674F41"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035843B6"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05D91DB2"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30E96BCB"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Tarifa T-1</w:t>
            </w:r>
          </w:p>
        </w:tc>
      </w:tr>
      <w:tr w:rsidR="00DF57D5" w:rsidRPr="00C02E6A" w14:paraId="55F0F6B5"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7554EC0F"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962.000 i 999.999 Gt´s.</w:t>
            </w:r>
          </w:p>
        </w:tc>
      </w:tr>
      <w:tr w:rsidR="00DF57D5" w:rsidRPr="00061033" w14:paraId="1BBB5A5F"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18354FF4"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675" w:type="dxa"/>
            <w:tcBorders>
              <w:top w:val="nil"/>
              <w:left w:val="nil"/>
              <w:bottom w:val="single" w:sz="8" w:space="0" w:color="auto"/>
              <w:right w:val="single" w:sz="8" w:space="0" w:color="auto"/>
            </w:tcBorders>
            <w:shd w:val="clear" w:color="000000" w:fill="BFBFBF"/>
            <w:noWrap/>
            <w:vAlign w:val="center"/>
            <w:hideMark/>
          </w:tcPr>
          <w:p w14:paraId="50490115"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Import</w:t>
            </w:r>
          </w:p>
        </w:tc>
      </w:tr>
      <w:tr w:rsidR="00DF57D5" w:rsidRPr="00061033" w14:paraId="3BA30458"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7D86BCE2"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Tots els vaixells</w:t>
            </w:r>
          </w:p>
        </w:tc>
        <w:tc>
          <w:tcPr>
            <w:tcW w:w="2675" w:type="dxa"/>
            <w:tcBorders>
              <w:top w:val="nil"/>
              <w:left w:val="nil"/>
              <w:bottom w:val="single" w:sz="8" w:space="0" w:color="auto"/>
              <w:right w:val="single" w:sz="8" w:space="0" w:color="auto"/>
            </w:tcBorders>
            <w:shd w:val="clear" w:color="auto" w:fill="auto"/>
            <w:noWrap/>
            <w:vAlign w:val="center"/>
            <w:hideMark/>
          </w:tcPr>
          <w:p w14:paraId="35092A28" w14:textId="5C9CDC12"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181,45+ (0,034051*Gt´s) €</w:t>
            </w:r>
          </w:p>
        </w:tc>
      </w:tr>
      <w:tr w:rsidR="00DF57D5" w:rsidRPr="00061033" w14:paraId="539FDBEB" w14:textId="77777777" w:rsidTr="00537B23">
        <w:trPr>
          <w:trHeight w:val="315"/>
        </w:trPr>
        <w:tc>
          <w:tcPr>
            <w:tcW w:w="5625" w:type="dxa"/>
            <w:tcBorders>
              <w:top w:val="nil"/>
              <w:left w:val="nil"/>
              <w:bottom w:val="nil"/>
              <w:right w:val="nil"/>
            </w:tcBorders>
            <w:shd w:val="clear" w:color="auto" w:fill="auto"/>
            <w:noWrap/>
            <w:vAlign w:val="bottom"/>
            <w:hideMark/>
          </w:tcPr>
          <w:p w14:paraId="77EA6634"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765FC89B"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2F239639"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36C498B8"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Tarifa T-2</w:t>
            </w:r>
          </w:p>
        </w:tc>
      </w:tr>
      <w:tr w:rsidR="00DF57D5" w:rsidRPr="00C02E6A" w14:paraId="4FE13861"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0346D836" w14:textId="77777777" w:rsidR="00DF57D5" w:rsidRPr="00061033" w:rsidRDefault="00DF57D5" w:rsidP="00537B23">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923.999 i 961.999 Gt´s.</w:t>
            </w:r>
          </w:p>
        </w:tc>
      </w:tr>
      <w:tr w:rsidR="00DF57D5" w:rsidRPr="00061033" w14:paraId="7A97F65E"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0E3CB3E4"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675" w:type="dxa"/>
            <w:tcBorders>
              <w:top w:val="nil"/>
              <w:left w:val="nil"/>
              <w:bottom w:val="single" w:sz="8" w:space="0" w:color="auto"/>
              <w:right w:val="single" w:sz="8" w:space="0" w:color="auto"/>
            </w:tcBorders>
            <w:shd w:val="clear" w:color="000000" w:fill="BFBFBF"/>
            <w:noWrap/>
            <w:vAlign w:val="center"/>
            <w:hideMark/>
          </w:tcPr>
          <w:p w14:paraId="49CDE35B"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Import</w:t>
            </w:r>
          </w:p>
        </w:tc>
      </w:tr>
      <w:tr w:rsidR="00DF57D5" w:rsidRPr="00061033" w14:paraId="2D1BE5A8"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32D36BF6"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xml:space="preserve">Tots els vaixells</w:t>
            </w:r>
          </w:p>
        </w:tc>
        <w:tc>
          <w:tcPr>
            <w:tcW w:w="2675" w:type="dxa"/>
            <w:tcBorders>
              <w:top w:val="nil"/>
              <w:left w:val="nil"/>
              <w:bottom w:val="single" w:sz="8" w:space="0" w:color="auto"/>
              <w:right w:val="single" w:sz="8" w:space="0" w:color="auto"/>
            </w:tcBorders>
            <w:shd w:val="clear" w:color="auto" w:fill="auto"/>
            <w:noWrap/>
            <w:vAlign w:val="center"/>
            <w:hideMark/>
          </w:tcPr>
          <w:p w14:paraId="73E180EC" w14:textId="6A12ABC3" w:rsidR="00DF57D5" w:rsidRPr="00061033" w:rsidRDefault="00360C83" w:rsidP="00537B23">
            <w:pPr>
              <w:widowControl/>
              <w:spacing w:after="0" w:line="240" w:lineRule="auto"/>
              <w:jc w:val="center"/>
              <w:rPr>
                <w:rFonts w:ascii="Calibri" w:eastAsia="Times New Roman" w:hAnsi="Calibri" w:cs="Calibri"/>
              </w:rPr>
            </w:pPr>
            <w:r>
              <w:rPr>
                <w:rFonts w:ascii="Calibri" w:hAnsi="Calibri"/>
              </w:rPr>
              <w:t xml:space="preserve">184,17+ (0,034562*Gt´s) €</w:t>
            </w:r>
          </w:p>
        </w:tc>
      </w:tr>
    </w:tbl>
    <w:p w14:paraId="224624B1" w14:textId="77777777" w:rsidR="00DF57D5" w:rsidRDefault="00DF57D5" w:rsidP="00C45435">
      <w:pPr>
        <w:pStyle w:val="OficioAPV"/>
        <w:spacing w:before="0" w:after="0" w:line="276" w:lineRule="auto"/>
        <w:ind w:left="0"/>
        <w:rPr>
          <w:color w:val="auto"/>
        </w:rPr>
      </w:pPr>
    </w:p>
    <w:p w14:paraId="77FA58CA" w14:textId="77777777" w:rsidR="00DF57D5" w:rsidRPr="007D2D27" w:rsidRDefault="00DF57D5" w:rsidP="00DF57D5">
      <w:pPr>
        <w:pStyle w:val="OficioAPV"/>
        <w:numPr>
          <w:ilvl w:val="0"/>
          <w:numId w:val="2"/>
        </w:numPr>
        <w:spacing w:before="0" w:after="0" w:line="276" w:lineRule="auto"/>
        <w:rPr>
          <w:i/>
          <w:iCs/>
        </w:rPr>
      </w:pPr>
      <w:r>
        <w:rPr>
          <w:i/>
        </w:rPr>
        <w:t xml:space="preserve">Les maniobres de vaixells sense màquines tindran un increment del 100%.</w:t>
      </w:r>
    </w:p>
    <w:p w14:paraId="5A2D29F4" w14:textId="77777777" w:rsidR="00DF57D5" w:rsidRPr="007D2D27" w:rsidRDefault="00DF57D5" w:rsidP="00DF57D5">
      <w:pPr>
        <w:pStyle w:val="OficioAPV"/>
        <w:numPr>
          <w:ilvl w:val="0"/>
          <w:numId w:val="2"/>
        </w:numPr>
        <w:spacing w:before="0" w:after="0" w:line="276" w:lineRule="auto"/>
        <w:rPr>
          <w:i/>
          <w:iCs/>
        </w:rPr>
      </w:pPr>
      <w:r>
        <w:rPr>
          <w:i/>
        </w:rPr>
        <w:t xml:space="preserve">Els fondejos en els quals es produïsca la prestació efectiva del servici a bord del vaixell fins al punt de fondeig, que es  produïsquen a conveniència i requeriment de l'armador o Capità del vaixell per arribada, subministraments en ancoratge, espera d'ordres, etc., reportaran el 75 % de la tarifa corresponent a una sola maniobra.</w:t>
      </w:r>
    </w:p>
    <w:p w14:paraId="11AF5720" w14:textId="77777777" w:rsidR="00DF57D5" w:rsidRPr="007D2D27" w:rsidRDefault="00DF57D5" w:rsidP="00DF57D5">
      <w:pPr>
        <w:pStyle w:val="OficioAPV"/>
        <w:numPr>
          <w:ilvl w:val="0"/>
          <w:numId w:val="2"/>
        </w:numPr>
        <w:spacing w:before="0" w:after="0" w:line="276" w:lineRule="auto"/>
        <w:rPr>
          <w:i/>
          <w:iCs/>
        </w:rPr>
      </w:pPr>
      <w:r>
        <w:rPr>
          <w:i/>
        </w:rPr>
        <w:t xml:space="preserve">La maniobra dins del port per canvi d'atracada reportarà un 25 % més de la tarifa (1,25* tarifa) que li corresponga, d'acord amb el Gt del vaixell.</w:t>
      </w:r>
    </w:p>
    <w:p w14:paraId="0EAE262B" w14:textId="77777777" w:rsidR="00DF57D5" w:rsidRPr="00BF3267" w:rsidRDefault="00DF57D5" w:rsidP="00C45435">
      <w:pPr>
        <w:pStyle w:val="OficioAPV"/>
        <w:spacing w:before="0" w:after="0" w:line="276" w:lineRule="auto"/>
        <w:ind w:left="0"/>
        <w:rPr>
          <w:color w:val="auto"/>
        </w:rPr>
      </w:pPr>
    </w:p>
    <w:p w14:paraId="49FAF44C" w14:textId="77777777" w:rsidR="00C45435" w:rsidRDefault="00C45435">
      <w:pPr>
        <w:rPr>
          <w:sz w:val="20"/>
          <w:szCs w:val="20"/>
          <w:rFonts w:ascii="Arial" w:eastAsia="Arial" w:hAnsi="Arial" w:cs="Arial"/>
        </w:rPr>
      </w:pPr>
      <w:r>
        <w:br w:type="page"/>
      </w:r>
    </w:p>
    <w:p w14:paraId="3B7AD5AF" w14:textId="77777777" w:rsidR="00C45435" w:rsidRDefault="00C45435" w:rsidP="00C45435">
      <w:pPr>
        <w:pStyle w:val="AsuntoAPV"/>
        <w:ind w:left="0"/>
        <w:jc w:val="center"/>
      </w:pPr>
      <w:r>
        <w:t xml:space="preserve">ANNEX II.</w:t>
      </w:r>
    </w:p>
    <w:p w14:paraId="72647EC0" w14:textId="77777777" w:rsidR="00C45435" w:rsidRPr="00C45435" w:rsidRDefault="00C45435" w:rsidP="00C45435">
      <w:pPr>
        <w:pStyle w:val="OficioAPV"/>
        <w:spacing w:before="0" w:after="0" w:line="276" w:lineRule="auto"/>
        <w:ind w:left="0"/>
        <w:rPr>
          <w:b/>
          <w:bCs/>
        </w:rPr>
      </w:pPr>
      <w:r>
        <w:rPr>
          <w:b/>
        </w:rPr>
        <w:t xml:space="preserve">Tarifes per intervenció en situacions d'emergència, operacions de salvament, extinció d'incendis o lluita contra la contaminació</w:t>
      </w:r>
    </w:p>
    <w:p w14:paraId="145F8656" w14:textId="77777777" w:rsidR="00C45435" w:rsidRPr="00BF3267" w:rsidRDefault="00C45435" w:rsidP="00C45435">
      <w:pPr>
        <w:pStyle w:val="OficioAPV"/>
        <w:spacing w:before="0" w:after="0" w:line="276" w:lineRule="auto"/>
        <w:ind w:left="0"/>
        <w:rPr>
          <w:color w:val="auto"/>
        </w:rPr>
      </w:pPr>
    </w:p>
    <w:p w14:paraId="2FB14B03" w14:textId="77777777" w:rsidR="00C45435" w:rsidRDefault="00C45435" w:rsidP="00C45435">
      <w:pPr>
        <w:pStyle w:val="OficioAPV"/>
        <w:numPr>
          <w:ilvl w:val="0"/>
          <w:numId w:val="1"/>
        </w:numPr>
        <w:spacing w:before="0" w:after="0" w:line="276" w:lineRule="auto"/>
      </w:pPr>
      <w:r>
        <w:t xml:space="preserve">Per intervenció en emergències:</w:t>
      </w:r>
    </w:p>
    <w:p w14:paraId="3F978DA7" w14:textId="77777777" w:rsidR="00C45435" w:rsidRPr="00C45435" w:rsidRDefault="00C45435" w:rsidP="00C45435">
      <w:pPr>
        <w:pStyle w:val="OficioAPV"/>
        <w:spacing w:before="0" w:after="0" w:line="276" w:lineRule="auto"/>
        <w:ind w:left="0"/>
      </w:pPr>
    </w:p>
    <w:p w14:paraId="34221829" w14:textId="55E6E076" w:rsidR="00C45435" w:rsidRPr="00C45435" w:rsidRDefault="00C45435" w:rsidP="00C45435">
      <w:pPr>
        <w:pStyle w:val="OficioAPV"/>
        <w:spacing w:before="0" w:after="0" w:line="276" w:lineRule="auto"/>
      </w:pPr>
      <w:r>
        <w:t xml:space="preserve">i.</w:t>
      </w:r>
      <w:r>
        <w:t xml:space="preserve"> </w:t>
      </w:r>
      <w:r>
        <w:t xml:space="preserve">Pel pràctic 309,35 €/hora.</w:t>
      </w:r>
    </w:p>
    <w:p w14:paraId="1B05A43B" w14:textId="5DEFFB8D" w:rsidR="00C45435" w:rsidRDefault="00C45435" w:rsidP="00C45435">
      <w:pPr>
        <w:pStyle w:val="OficioAPV"/>
        <w:spacing w:before="0" w:after="0" w:line="276" w:lineRule="auto"/>
      </w:pPr>
      <w:r>
        <w:t xml:space="preserve">ii.</w:t>
      </w:r>
      <w:r>
        <w:t xml:space="preserve"> </w:t>
      </w:r>
      <w:r>
        <w:t xml:space="preserve">Per l'embarcació, inclosa la seua tripulació 154,68 €/hora.</w:t>
      </w:r>
    </w:p>
    <w:p w14:paraId="427A1BEA" w14:textId="77777777" w:rsidR="00C45435" w:rsidRPr="00C45435" w:rsidRDefault="00C45435" w:rsidP="00C45435">
      <w:pPr>
        <w:pStyle w:val="OficioAPV"/>
        <w:spacing w:before="0" w:after="0" w:line="276" w:lineRule="auto"/>
      </w:pPr>
    </w:p>
    <w:p w14:paraId="618DA77D" w14:textId="1265E098" w:rsidR="00C45435" w:rsidRPr="00C45435" w:rsidRDefault="00C45435" w:rsidP="00C45435">
      <w:pPr>
        <w:pStyle w:val="OficioAPV"/>
        <w:numPr>
          <w:ilvl w:val="0"/>
          <w:numId w:val="1"/>
        </w:numPr>
        <w:spacing w:before="0" w:after="0" w:line="276" w:lineRule="auto"/>
      </w:pPr>
      <w:r>
        <w:t xml:space="preserve">Per intervenció en la lluita contra la contaminació, per cada embarcació i la seua tripulació 206,24 €/hora.</w:t>
      </w:r>
    </w:p>
    <w:p w14:paraId="125F4B31" w14:textId="77777777" w:rsidR="00C45435" w:rsidRPr="00BF3267" w:rsidRDefault="00C45435" w:rsidP="00C45435">
      <w:pPr>
        <w:pStyle w:val="OficioAPV"/>
        <w:spacing w:before="0" w:after="0" w:line="276" w:lineRule="auto"/>
        <w:ind w:left="0"/>
        <w:rPr>
          <w:color w:val="auto"/>
        </w:rPr>
      </w:pPr>
    </w:p>
    <w:p w14:paraId="6CD4560A" w14:textId="77777777" w:rsidR="00961D9E" w:rsidRPr="00C45435" w:rsidRDefault="00961D9E" w:rsidP="008C6282">
      <w:pPr>
        <w:rPr>
          <w:lang w:val="es-ES"/>
        </w:rPr>
      </w:pPr>
    </w:p>
    <w:sectPr w:rsidR="00961D9E" w:rsidRPr="00C45435" w:rsidSect="008C6282">
      <w:headerReference w:type="default" r:id="rId10"/>
      <w:footerReference w:type="default" r:id="rId11"/>
      <w:type w:val="continuous"/>
      <w:pgSz w:w="11900" w:h="16840" w:code="9"/>
      <w:pgMar w:top="2835" w:right="1418" w:bottom="28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7CBA" w14:textId="77777777" w:rsidR="00BE2CFA" w:rsidRDefault="00BE2CFA" w:rsidP="00FB7137">
      <w:pPr>
        <w:spacing w:after="0" w:line="240" w:lineRule="auto"/>
      </w:pPr>
      <w:r>
        <w:separator/>
      </w:r>
    </w:p>
  </w:endnote>
  <w:endnote w:type="continuationSeparator" w:id="0">
    <w:p w14:paraId="3FC773E1" w14:textId="77777777" w:rsidR="00BE2CFA" w:rsidRDefault="00BE2CFA"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978673"/>
      <w:docPartObj>
        <w:docPartGallery w:val="Page Numbers (Top of Page)"/>
        <w:docPartUnique/>
      </w:docPartObj>
    </w:sdtPr>
    <w:sdtEndPr>
      <w:rPr>
        <w:sz w:val="8"/>
        <w:szCs w:val="8"/>
      </w:rPr>
    </w:sdtEndPr>
    <w:sdtContent>
      <w:p w14:paraId="0B8D80B3" w14:textId="77777777" w:rsidR="00EA48AE" w:rsidRDefault="00EA48AE" w:rsidP="00861511">
        <w:pPr>
          <w:pStyle w:val="Piedepgina"/>
          <w:jc w:val="right"/>
          <w:rPr>
            <w:rFonts w:ascii="Arial" w:eastAsia="Arial" w:hAnsi="Arial" w:cs="Arial"/>
            <w:color w:val="231F20"/>
            <w:spacing w:val="-3"/>
            <w:sz w:val="14"/>
            <w:szCs w:val="14"/>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9"/>
        </w:tblGrid>
        <w:tr w:rsidR="00EA48AE" w14:paraId="608BEDF0" w14:textId="77777777" w:rsidTr="008F069A">
          <w:trPr>
            <w:trHeight w:val="850"/>
          </w:trPr>
          <w:tc>
            <w:tcPr>
              <w:tcW w:w="8639" w:type="dxa"/>
            </w:tcPr>
            <w:p w14:paraId="4E8F0A53" w14:textId="488A2017" w:rsidR="00EA48AE" w:rsidRDefault="00861511" w:rsidP="00EA48AE">
              <w:pPr>
                <w:pStyle w:val="Piedepgina"/>
                <w:jc w:val="right"/>
                <w:rPr>
                  <w:color w:val="231F20"/>
                  <w:spacing w:val="-3"/>
                  <w:sz w:val="14"/>
                  <w:szCs w:val="14"/>
                  <w:rFonts w:ascii="Arial" w:eastAsia="Arial" w:hAnsi="Arial" w:cs="Arial"/>
                </w:rPr>
              </w:pPr>
              <w:r>
                <w:rPr>
                  <w:color w:val="231F20"/>
                  <w:sz w:val="14"/>
                  <w:szCs w:val="14"/>
                  <w:rFonts w:ascii="Arial" w:hAnsi="Arial"/>
                </w:rPr>
                <w:drawing>
                  <wp:inline distT="0" distB="0" distL="0" distR="0" wp14:anchorId="75FDF82E" wp14:editId="2B26F725">
                    <wp:extent cx="3950024" cy="504000"/>
                    <wp:effectExtent l="0" t="0" r="0" b="0"/>
                    <wp:docPr id="10" name="Imagen 40" descr="Diagrama&#10;&#10;Descripción generada automáticamente">
                      <a:extLst xmlns:a="http://schemas.openxmlformats.org/drawingml/2006/main">
                        <a:ext uri="{FF2B5EF4-FFF2-40B4-BE49-F238E27FC236}">
                          <a16:creationId xmlns:a16="http://schemas.microsoft.com/office/drawing/2014/main" id="{23E7CBFB-50EF-420F-BA7A-26CCFF6D3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descr="Diagrama&#10;&#10;Descripción generada automáticamente">
                              <a:extLst>
                                <a:ext uri="{FF2B5EF4-FFF2-40B4-BE49-F238E27FC236}">
                                  <a16:creationId xmlns:a16="http://schemas.microsoft.com/office/drawing/2014/main" id="{23E7CBFB-50EF-420F-BA7A-26CCFF6D3B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0024" cy="504000"/>
                            </a:xfrm>
                            <a:prstGeom prst="rect">
                              <a:avLst/>
                            </a:prstGeom>
                          </pic:spPr>
                        </pic:pic>
                      </a:graphicData>
                    </a:graphic>
                  </wp:inline>
                </w:drawing>
              </w:r>
            </w:p>
          </w:tc>
        </w:tr>
        <w:tr w:rsidR="00EA48AE" w14:paraId="2C941E76" w14:textId="77777777" w:rsidTr="008F069A">
          <w:tc>
            <w:tcPr>
              <w:tcW w:w="8639" w:type="dxa"/>
            </w:tcPr>
            <w:p w14:paraId="7333FD94" w14:textId="77777777" w:rsidR="00EA48AE" w:rsidRDefault="00EA48AE" w:rsidP="00EA48AE">
              <w:pPr>
                <w:pStyle w:val="Piedepgina"/>
                <w:spacing w:before="60" w:after="60"/>
                <w:jc w:val="center"/>
                <w:rPr>
                  <w:color w:val="231F20"/>
                  <w:spacing w:val="-3"/>
                  <w:sz w:val="14"/>
                  <w:szCs w:val="14"/>
                  <w:rFonts w:ascii="Arial" w:eastAsia="Arial" w:hAnsi="Arial" w:cs="Arial"/>
                </w:rPr>
              </w:pPr>
              <w:r>
                <w:rPr>
                  <w:color w:val="231F20"/>
                  <w:sz w:val="14"/>
                  <w:rFonts w:ascii="Arial" w:hAnsi="Arial"/>
                </w:rPr>
                <w:t xml:space="preserve">Av. Moll del Túria, s/n · 46024 València – Espanya · NIF Q4667047G · Tel. +34 96 393 95 00 · Fax +34 96 393 95 99</w:t>
              </w:r>
            </w:p>
          </w:tc>
        </w:tr>
        <w:tr w:rsidR="00EA48AE" w14:paraId="399BEA88" w14:textId="77777777" w:rsidTr="008F069A">
          <w:tc>
            <w:tcPr>
              <w:tcW w:w="8639" w:type="dxa"/>
            </w:tcPr>
            <w:p w14:paraId="49616CE8" w14:textId="77777777" w:rsidR="00EA48AE" w:rsidRPr="009C32A1" w:rsidRDefault="00EA48AE" w:rsidP="00EA48AE">
              <w:pPr>
                <w:pStyle w:val="Piedepgina"/>
                <w:jc w:val="center"/>
                <w:rPr>
                  <w:color w:val="231F20"/>
                  <w:spacing w:val="-3"/>
                  <w:sz w:val="14"/>
                  <w:szCs w:val="14"/>
                  <w:rFonts w:ascii="Arial" w:eastAsia="Arial" w:hAnsi="Arial" w:cs="Arial"/>
                </w:rPr>
              </w:pPr>
              <w:r>
                <w:rPr>
                  <w:sz w:val="14"/>
                  <w:color w:val="231F20"/>
                  <w:rFonts w:ascii="Arial" w:hAnsi="Arial"/>
                </w:rPr>
                <w:t xml:space="preserve">www.valenciaport.com · </w:t>
              </w:r>
              <w:r>
                <w:rPr>
                  <w:sz w:val="14"/>
                  <w:rFonts w:ascii="Arial" w:hAnsi="Arial"/>
                </w:rPr>
                <w:t xml:space="preserve">www.valenciaportse.gob.es</w:t>
              </w:r>
            </w:p>
          </w:tc>
        </w:tr>
        <w:tr w:rsidR="00EA48AE" w14:paraId="4676529D" w14:textId="77777777" w:rsidTr="008F069A">
          <w:tc>
            <w:tcPr>
              <w:tcW w:w="8639" w:type="dxa"/>
            </w:tcPr>
            <w:p w14:paraId="2D812C9D" w14:textId="77777777" w:rsidR="00EA48AE" w:rsidRDefault="00EA48AE" w:rsidP="00EA48AE">
              <w:pPr>
                <w:pStyle w:val="Piedepgina"/>
                <w:jc w:val="center"/>
                <w:rPr>
                  <w:rFonts w:ascii="Arial" w:eastAsia="Arial" w:hAnsi="Arial" w:cs="Arial"/>
                  <w:color w:val="231F20"/>
                  <w:sz w:val="14"/>
                  <w:szCs w:val="14"/>
                  <w:lang w:val="en-US"/>
                </w:rPr>
              </w:pPr>
            </w:p>
            <w:p w14:paraId="4F994845" w14:textId="64279D20" w:rsidR="00EA48AE" w:rsidRPr="009C32A1" w:rsidRDefault="00EA48AE" w:rsidP="00EA48AE">
              <w:pPr>
                <w:pStyle w:val="Piedepgina"/>
                <w:jc w:val="center"/>
                <w:rPr>
                  <w:color w:val="231F20"/>
                  <w:sz w:val="14"/>
                  <w:szCs w:val="14"/>
                  <w:rFonts w:ascii="Arial" w:eastAsia="Arial" w:hAnsi="Arial" w:cs="Arial"/>
                </w:rPr>
              </w:pPr>
              <w:r w:rsidRPr="003F650D">
                <w:rPr>
                  <w:sz w:val="14"/>
                  <w:rFonts w:ascii="Arial" w:hAnsi="Arial" w:cs="Arial"/>
                </w:rPr>
                <w:fldChar w:fldCharType="begin"/>
              </w:r>
              <w:r w:rsidRPr="003F650D">
                <w:rPr>
                  <w:sz w:val="14"/>
                  <w:rFonts w:ascii="Arial" w:hAnsi="Arial" w:cs="Arial"/>
                </w:rPr>
                <w:instrText>PAGE</w:instrText>
              </w:r>
              <w:r w:rsidRPr="003F650D">
                <w:rPr>
                  <w:sz w:val="14"/>
                  <w:rFonts w:ascii="Arial" w:hAnsi="Arial" w:cs="Arial"/>
                </w:rPr>
                <w:fldChar w:fldCharType="separate"/>
              </w:r>
              <w:r w:rsidR="00C02E6A">
                <w:rPr>
                  <w:sz w:val="14"/>
                  <w:rFonts w:ascii="Arial" w:hAnsi="Arial" w:cs="Arial"/>
                </w:rPr>
                <w:t>3</w:t>
              </w:r>
              <w:r w:rsidRPr="003F650D">
                <w:rPr>
                  <w:sz w:val="14"/>
                  <w:rFonts w:ascii="Arial" w:hAnsi="Arial" w:cs="Arial"/>
                </w:rPr>
                <w:fldChar w:fldCharType="end"/>
              </w:r>
            </w:p>
          </w:tc>
        </w:tr>
      </w:tbl>
      <w:p w14:paraId="444C18D1" w14:textId="77777777" w:rsidR="00EA48AE" w:rsidRDefault="00C02E6A" w:rsidP="00EA48AE">
        <w:pPr>
          <w:pStyle w:val="Piedepgina"/>
          <w:widowControl/>
          <w:rPr>
            <w:sz w:val="8"/>
            <w:szCs w:val="8"/>
          </w:rPr>
        </w:pPr>
      </w:p>
    </w:sdtContent>
  </w:sdt>
  <w:p w14:paraId="3660E437" w14:textId="77777777" w:rsidR="00EA48AE" w:rsidRDefault="00EA4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13A87" w14:textId="77777777" w:rsidR="00BE2CFA" w:rsidRDefault="00BE2CFA" w:rsidP="00FB7137">
      <w:pPr>
        <w:spacing w:after="0" w:line="240" w:lineRule="auto"/>
      </w:pPr>
      <w:r>
        <w:separator/>
      </w:r>
    </w:p>
  </w:footnote>
  <w:footnote w:type="continuationSeparator" w:id="0">
    <w:p w14:paraId="76D202A2" w14:textId="77777777" w:rsidR="00BE2CFA" w:rsidRDefault="00BE2CFA" w:rsidP="00FB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34"/>
    </w:tblGrid>
    <w:tr w:rsidR="00EA48AE" w14:paraId="01639827" w14:textId="77777777" w:rsidTr="008F069A">
      <w:tc>
        <w:tcPr>
          <w:tcW w:w="2526" w:type="dxa"/>
        </w:tcPr>
        <w:p w14:paraId="06F121F9" w14:textId="77777777" w:rsidR="00EA48AE" w:rsidRDefault="00EA48AE" w:rsidP="00EA48AE">
          <w:pPr>
            <w:jc w:val="center"/>
          </w:pPr>
          <w:r>
            <w:drawing>
              <wp:inline distT="0" distB="0" distL="0" distR="0" wp14:anchorId="1658AFA6" wp14:editId="635729ED">
                <wp:extent cx="1458000" cy="720000"/>
                <wp:effectExtent l="0" t="0" r="0" b="4445"/>
                <wp:docPr id="24" name="Imagen 24"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6BB106ED" w14:textId="77777777" w:rsidR="00EA48AE" w:rsidRPr="00EA48AE" w:rsidRDefault="00EA48AE" w:rsidP="00EA48AE">
          <w:pPr>
            <w:pStyle w:val="AsuntoAPV"/>
            <w:ind w:left="0"/>
            <w:jc w:val="right"/>
            <w:rPr>
              <w:b w:val="0"/>
              <w:i/>
              <w:sz w:val="20"/>
              <w:szCs w:val="20"/>
            </w:rPr>
          </w:pPr>
          <w:r>
            <w:rPr>
              <w:color w:val="1C2674"/>
              <w:sz w:val="28"/>
              <w:u w:val="single"/>
            </w:rPr>
            <w:t xml:space="preserve">                                         </w:t>
          </w:r>
          <w:r>
            <w:rPr>
              <w:color w:val="1C2674"/>
              <w:sz w:val="28"/>
              <w:u w:val="single" w:color="1C2674"/>
            </w:rPr>
            <w:t xml:space="preserve">RESOLUCIONS</w:t>
          </w:r>
        </w:p>
      </w:tc>
    </w:tr>
    <w:tr w:rsidR="00622E4E" w14:paraId="2F666796" w14:textId="77777777" w:rsidTr="008F069A">
      <w:trPr>
        <w:trHeight w:val="96"/>
      </w:trPr>
      <w:tc>
        <w:tcPr>
          <w:tcW w:w="2526" w:type="dxa"/>
          <w:vAlign w:val="bottom"/>
        </w:tcPr>
        <w:p w14:paraId="64D0D2ED" w14:textId="77777777" w:rsidR="00622E4E" w:rsidRDefault="00622E4E" w:rsidP="00622E4E">
          <w:pPr>
            <w:jc w:val="center"/>
            <w:rPr>
              <w:noProof/>
            </w:rPr>
          </w:pPr>
          <w:r>
            <w:rPr>
              <w:b/>
              <w:color w:val="1C2674"/>
              <w:sz w:val="12"/>
              <w:rFonts w:ascii="Arial" w:hAnsi="Arial"/>
            </w:rPr>
            <w:t xml:space="preserve">DIR3:</w:t>
          </w:r>
          <w:r>
            <w:rPr>
              <w:b/>
              <w:color w:val="1C2674"/>
              <w:sz w:val="12"/>
              <w:rFonts w:ascii="Arial" w:hAnsi="Arial"/>
            </w:rPr>
            <w:t xml:space="preserve"> </w:t>
          </w:r>
          <w:r>
            <w:rPr>
              <w:b/>
              <w:color w:val="1C2674"/>
              <w:sz w:val="12"/>
              <w:rFonts w:ascii="Arial" w:hAnsi="Arial"/>
            </w:rPr>
            <w:t xml:space="preserve">EA0001321</w:t>
          </w:r>
        </w:p>
      </w:tc>
      <w:tc>
        <w:tcPr>
          <w:tcW w:w="6534" w:type="dxa"/>
          <w:vAlign w:val="center"/>
        </w:tcPr>
        <w:p w14:paraId="3A38C83C" w14:textId="77777777" w:rsidR="00622E4E" w:rsidRPr="00973106" w:rsidRDefault="00622E4E" w:rsidP="00622E4E">
          <w:pPr>
            <w:jc w:val="right"/>
            <w:rPr>
              <w:rFonts w:ascii="Arial" w:eastAsia="Arial" w:hAnsi="Arial" w:cs="Arial"/>
              <w:bCs/>
              <w:position w:val="-1"/>
              <w:sz w:val="16"/>
              <w:szCs w:val="16"/>
            </w:rPr>
          </w:pPr>
        </w:p>
      </w:tc>
    </w:tr>
  </w:tbl>
  <w:p w14:paraId="06A0AB67" w14:textId="77777777" w:rsidR="00EA48AE" w:rsidRDefault="00EA4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42A5F"/>
    <w:multiLevelType w:val="hybridMultilevel"/>
    <w:tmpl w:val="B8AAE0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9D77F19"/>
    <w:multiLevelType w:val="hybridMultilevel"/>
    <w:tmpl w:val="9CF6F610"/>
    <w:lvl w:ilvl="0" w:tplc="B2863D78">
      <w:start w:val="1"/>
      <w:numFmt w:val="lowerLetter"/>
      <w:lvlText w:val="%1)"/>
      <w:lvlJc w:val="left"/>
      <w:pPr>
        <w:ind w:left="0" w:hanging="360"/>
      </w:pPr>
      <w:rPr>
        <w:rFonts w:hint="default"/>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dirty" w:grammar="dirty"/>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19"/>
    <w:rsid w:val="00024233"/>
    <w:rsid w:val="00037689"/>
    <w:rsid w:val="00051767"/>
    <w:rsid w:val="000964AA"/>
    <w:rsid w:val="000A34A9"/>
    <w:rsid w:val="000E0AEF"/>
    <w:rsid w:val="000E38EB"/>
    <w:rsid w:val="00102757"/>
    <w:rsid w:val="0010287A"/>
    <w:rsid w:val="0012561F"/>
    <w:rsid w:val="001466B0"/>
    <w:rsid w:val="00167279"/>
    <w:rsid w:val="001678DD"/>
    <w:rsid w:val="00177A31"/>
    <w:rsid w:val="001922ED"/>
    <w:rsid w:val="001B7D38"/>
    <w:rsid w:val="001C3B43"/>
    <w:rsid w:val="001C5674"/>
    <w:rsid w:val="001C593D"/>
    <w:rsid w:val="001E5FCC"/>
    <w:rsid w:val="001E6178"/>
    <w:rsid w:val="001F7B29"/>
    <w:rsid w:val="00267F27"/>
    <w:rsid w:val="002A1AC2"/>
    <w:rsid w:val="002C01B5"/>
    <w:rsid w:val="002D0386"/>
    <w:rsid w:val="002F1E0A"/>
    <w:rsid w:val="003457B9"/>
    <w:rsid w:val="00360C83"/>
    <w:rsid w:val="00364097"/>
    <w:rsid w:val="003653C1"/>
    <w:rsid w:val="003A4317"/>
    <w:rsid w:val="003B5A6F"/>
    <w:rsid w:val="00462EC5"/>
    <w:rsid w:val="00467C61"/>
    <w:rsid w:val="004A4558"/>
    <w:rsid w:val="004A51FF"/>
    <w:rsid w:val="004A58D0"/>
    <w:rsid w:val="004C74AD"/>
    <w:rsid w:val="004D6412"/>
    <w:rsid w:val="0051663B"/>
    <w:rsid w:val="005258D7"/>
    <w:rsid w:val="005907E5"/>
    <w:rsid w:val="005B0D96"/>
    <w:rsid w:val="005C6D74"/>
    <w:rsid w:val="005D2A83"/>
    <w:rsid w:val="00622E4E"/>
    <w:rsid w:val="00663129"/>
    <w:rsid w:val="00663BA0"/>
    <w:rsid w:val="006920FC"/>
    <w:rsid w:val="006C13E1"/>
    <w:rsid w:val="006C5020"/>
    <w:rsid w:val="006D5000"/>
    <w:rsid w:val="006D7D75"/>
    <w:rsid w:val="00701439"/>
    <w:rsid w:val="00707370"/>
    <w:rsid w:val="00730858"/>
    <w:rsid w:val="0075449C"/>
    <w:rsid w:val="0077433C"/>
    <w:rsid w:val="00783DF5"/>
    <w:rsid w:val="00793D54"/>
    <w:rsid w:val="007A1596"/>
    <w:rsid w:val="007A49E3"/>
    <w:rsid w:val="007E2802"/>
    <w:rsid w:val="00800383"/>
    <w:rsid w:val="00802AC6"/>
    <w:rsid w:val="0081116E"/>
    <w:rsid w:val="008201BD"/>
    <w:rsid w:val="00820737"/>
    <w:rsid w:val="0082602D"/>
    <w:rsid w:val="00831D3A"/>
    <w:rsid w:val="00835537"/>
    <w:rsid w:val="00843344"/>
    <w:rsid w:val="00850829"/>
    <w:rsid w:val="00861511"/>
    <w:rsid w:val="0087189D"/>
    <w:rsid w:val="008A2836"/>
    <w:rsid w:val="008B4645"/>
    <w:rsid w:val="008B767C"/>
    <w:rsid w:val="008C4881"/>
    <w:rsid w:val="008C6282"/>
    <w:rsid w:val="008E7E4C"/>
    <w:rsid w:val="00901EDF"/>
    <w:rsid w:val="00903F99"/>
    <w:rsid w:val="00926ED8"/>
    <w:rsid w:val="00932405"/>
    <w:rsid w:val="0094058D"/>
    <w:rsid w:val="00952B10"/>
    <w:rsid w:val="009541E3"/>
    <w:rsid w:val="009544A5"/>
    <w:rsid w:val="00957FAE"/>
    <w:rsid w:val="00961D9E"/>
    <w:rsid w:val="0097077E"/>
    <w:rsid w:val="00971CBF"/>
    <w:rsid w:val="00981436"/>
    <w:rsid w:val="00984C69"/>
    <w:rsid w:val="009A466C"/>
    <w:rsid w:val="009A4D7C"/>
    <w:rsid w:val="009D19B0"/>
    <w:rsid w:val="009E42EF"/>
    <w:rsid w:val="00A03E46"/>
    <w:rsid w:val="00A07B19"/>
    <w:rsid w:val="00A23FD2"/>
    <w:rsid w:val="00A243E3"/>
    <w:rsid w:val="00A67BB1"/>
    <w:rsid w:val="00A71F34"/>
    <w:rsid w:val="00A7459F"/>
    <w:rsid w:val="00A805BE"/>
    <w:rsid w:val="00AA1833"/>
    <w:rsid w:val="00AA2AF4"/>
    <w:rsid w:val="00AC4224"/>
    <w:rsid w:val="00AF5533"/>
    <w:rsid w:val="00B0753E"/>
    <w:rsid w:val="00B26873"/>
    <w:rsid w:val="00B34F99"/>
    <w:rsid w:val="00B93151"/>
    <w:rsid w:val="00BA581E"/>
    <w:rsid w:val="00BA7DD5"/>
    <w:rsid w:val="00BE2CFA"/>
    <w:rsid w:val="00BF04CB"/>
    <w:rsid w:val="00BF7276"/>
    <w:rsid w:val="00C02E6A"/>
    <w:rsid w:val="00C23AFA"/>
    <w:rsid w:val="00C36ABD"/>
    <w:rsid w:val="00C45435"/>
    <w:rsid w:val="00C53130"/>
    <w:rsid w:val="00C94713"/>
    <w:rsid w:val="00CA1B41"/>
    <w:rsid w:val="00CB039E"/>
    <w:rsid w:val="00CD06D2"/>
    <w:rsid w:val="00CD1486"/>
    <w:rsid w:val="00D00152"/>
    <w:rsid w:val="00D55147"/>
    <w:rsid w:val="00D56F87"/>
    <w:rsid w:val="00D66A08"/>
    <w:rsid w:val="00D67CA0"/>
    <w:rsid w:val="00D82E89"/>
    <w:rsid w:val="00D93411"/>
    <w:rsid w:val="00D97C17"/>
    <w:rsid w:val="00DC56E4"/>
    <w:rsid w:val="00DD15A3"/>
    <w:rsid w:val="00DF57D5"/>
    <w:rsid w:val="00E42047"/>
    <w:rsid w:val="00E42355"/>
    <w:rsid w:val="00E73236"/>
    <w:rsid w:val="00E96478"/>
    <w:rsid w:val="00EA48AE"/>
    <w:rsid w:val="00EB7C37"/>
    <w:rsid w:val="00EC5873"/>
    <w:rsid w:val="00EE4FB9"/>
    <w:rsid w:val="00F0361F"/>
    <w:rsid w:val="00F07002"/>
    <w:rsid w:val="00F54B7B"/>
    <w:rsid w:val="00F820DF"/>
    <w:rsid w:val="00F91E22"/>
    <w:rsid w:val="00FB7137"/>
    <w:rsid w:val="00FD31E4"/>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A90751"/>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valencia"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2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lang w:val="ca-ES-valencia"/>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lang w:val="ca-ES-valencia"/>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ca-ES-valencia"/>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ca-ES-valencia"/>
    </w:rPr>
  </w:style>
  <w:style w:type="table" w:styleId="Tablaconcuadrcula">
    <w:name w:val="Table Grid"/>
    <w:basedOn w:val="Tablanormal"/>
    <w:uiPriority w:val="39"/>
    <w:rsid w:val="00EA48AE"/>
    <w:pPr>
      <w:widowControl/>
      <w:spacing w:after="0" w:line="240" w:lineRule="auto"/>
    </w:pPr>
    <w:rPr>
      <w:lang w:val="ca-ES-valenc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F57D5"/>
    <w:pPr>
      <w:ind w:left="720"/>
      <w:contextualSpacing/>
    </w:pPr>
  </w:style>
  <w:style w:type="character" w:customStyle="1" w:styleId="PrrafodelistaCar">
    <w:name w:val="Párrafo de lista Car"/>
    <w:basedOn w:val="Fuentedeprrafopredeter"/>
    <w:link w:val="Prrafodelista"/>
    <w:uiPriority w:val="34"/>
    <w:rsid w:val="00DF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9076">
      <w:bodyDiv w:val="1"/>
      <w:marLeft w:val="0"/>
      <w:marRight w:val="0"/>
      <w:marTop w:val="0"/>
      <w:marBottom w:val="0"/>
      <w:divBdr>
        <w:top w:val="none" w:sz="0" w:space="0" w:color="auto"/>
        <w:left w:val="none" w:sz="0" w:space="0" w:color="auto"/>
        <w:bottom w:val="none" w:sz="0" w:space="0" w:color="auto"/>
        <w:right w:val="none" w:sz="0" w:space="0" w:color="auto"/>
      </w:divBdr>
    </w:div>
    <w:div w:id="446390860">
      <w:bodyDiv w:val="1"/>
      <w:marLeft w:val="0"/>
      <w:marRight w:val="0"/>
      <w:marTop w:val="0"/>
      <w:marBottom w:val="0"/>
      <w:divBdr>
        <w:top w:val="none" w:sz="0" w:space="0" w:color="auto"/>
        <w:left w:val="none" w:sz="0" w:space="0" w:color="auto"/>
        <w:bottom w:val="none" w:sz="0" w:space="0" w:color="auto"/>
        <w:right w:val="none" w:sz="0" w:space="0" w:color="auto"/>
      </w:divBdr>
    </w:div>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 w:id="1785153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d9f107-1447-4fc6-a43a-8013e2e957fa" xsi:nil="true"/>
    <lcf76f155ced4ddcb4097134ff3c332f xmlns="072d6af8-b148-4ff0-916a-bad229d1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16D1B9BB9A1046A850EBA19CC214F2" ma:contentTypeVersion="17" ma:contentTypeDescription="Crear nuevo documento." ma:contentTypeScope="" ma:versionID="19d429c3a42311d8303b1b920ae6383a">
  <xsd:schema xmlns:xsd="http://www.w3.org/2001/XMLSchema" xmlns:xs="http://www.w3.org/2001/XMLSchema" xmlns:p="http://schemas.microsoft.com/office/2006/metadata/properties" xmlns:ns2="072d6af8-b148-4ff0-916a-bad229d19948" xmlns:ns3="a8d9f107-1447-4fc6-a43a-8013e2e957fa" targetNamespace="http://schemas.microsoft.com/office/2006/metadata/properties" ma:root="true" ma:fieldsID="af1d7c6bf816b59e9f080eb369d6c9eb" ns2:_="" ns3:_="">
    <xsd:import namespace="072d6af8-b148-4ff0-916a-bad229d19948"/>
    <xsd:import namespace="a8d9f107-1447-4fc6-a43a-8013e2e95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6af8-b148-4ff0-916a-bad229d1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326bfb3-f50d-49af-8406-a57ef455b46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9f107-1447-4fc6-a43a-8013e2e957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c1ef55-15ef-4706-968d-69a5d1832d42}" ma:internalName="TaxCatchAll" ma:showField="CatchAllData" ma:web="a8d9f107-1447-4fc6-a43a-8013e2e957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241AF-6F28-4A94-A143-C0907B0DA387}">
  <ds:schemaRefs>
    <ds:schemaRef ds:uri="http://www.w3.org/XML/1998/namespace"/>
    <ds:schemaRef ds:uri="072d6af8-b148-4ff0-916a-bad229d19948"/>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a8d9f107-1447-4fc6-a43a-8013e2e957fa"/>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7B964A5-27B3-4CCB-8E12-EC125712A159}">
  <ds:schemaRefs>
    <ds:schemaRef ds:uri="http://schemas.microsoft.com/sharepoint/v3/contenttype/forms"/>
  </ds:schemaRefs>
</ds:datastoreItem>
</file>

<file path=customXml/itemProps3.xml><?xml version="1.0" encoding="utf-8"?>
<ds:datastoreItem xmlns:ds="http://schemas.openxmlformats.org/officeDocument/2006/customXml" ds:itemID="{8C809C54-1A03-4982-9D98-9F9BE6DB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6af8-b148-4ff0-916a-bad229d19948"/>
    <ds:schemaRef ds:uri="a8d9f107-1447-4fc6-a43a-8013e2e9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Francisco Macian</dc:creator>
  <cp:lastModifiedBy>Francisco Macian Gil</cp:lastModifiedBy>
  <cp:revision>7</cp:revision>
  <cp:lastPrinted>2024-01-10T10:30:00Z</cp:lastPrinted>
  <dcterms:created xsi:type="dcterms:W3CDTF">2024-02-08T11:17:00Z</dcterms:created>
  <dcterms:modified xsi:type="dcterms:W3CDTF">2024-02-08T13:19:00Z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0x0101004D16D1B9BB9A1046A850EBA19CC214F2</vt:lpwstr>
  </property>
  <property fmtid="{D5CDD505-2E9C-101B-9397-08002B2CF9AE}" pid="5" name="MediaServiceImageTags">
    <vt:lpwstr/>
  </property>
</Properties>
</file>